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082" w:rsidRPr="00EF0082" w:rsidRDefault="00EF0082" w:rsidP="00EF0082">
      <w:pPr>
        <w:jc w:val="both"/>
        <w:rPr>
          <w:rFonts w:ascii="Times New Roman" w:hAnsi="Times New Roman" w:cs="Times New Roman"/>
          <w:sz w:val="24"/>
          <w:szCs w:val="24"/>
        </w:rPr>
      </w:pPr>
      <w:r w:rsidRPr="00EF0082">
        <w:rPr>
          <w:rFonts w:ascii="Times New Roman" w:hAnsi="Times New Roman" w:cs="Times New Roman"/>
          <w:sz w:val="24"/>
          <w:szCs w:val="24"/>
        </w:rPr>
        <w:t>(Wyrok TK z dnia 1 grudnia 1998r. K 21/98) „*…] system aktów prawa wewnętrznego ma – w przeciwie</w:t>
      </w:r>
      <w:r>
        <w:rPr>
          <w:rFonts w:ascii="Times New Roman" w:hAnsi="Times New Roman" w:cs="Times New Roman"/>
          <w:sz w:val="24"/>
          <w:szCs w:val="24"/>
        </w:rPr>
        <w:t>ń</w:t>
      </w:r>
      <w:r w:rsidRPr="00EF0082">
        <w:rPr>
          <w:rFonts w:ascii="Times New Roman" w:hAnsi="Times New Roman" w:cs="Times New Roman"/>
          <w:sz w:val="24"/>
          <w:szCs w:val="24"/>
        </w:rPr>
        <w:t xml:space="preserve">stwie do systemu aktów będących źródłami prawa powszechnie obowiązującego – charakter systemu otwartego[…] Trzon tego systemu stanowią akty wymienione w art. 93 ust 1, ale nie ma konstytucyjnego zakazu, by przepisy ustawowe upoważniały także inne </w:t>
      </w:r>
      <w:r>
        <w:rPr>
          <w:rFonts w:ascii="Times New Roman" w:hAnsi="Times New Roman" w:cs="Times New Roman"/>
          <w:sz w:val="24"/>
          <w:szCs w:val="24"/>
        </w:rPr>
        <w:t>podmioty do stosowania zarządzeń</w:t>
      </w:r>
      <w:r w:rsidRPr="00EF0082">
        <w:rPr>
          <w:rFonts w:ascii="Times New Roman" w:hAnsi="Times New Roman" w:cs="Times New Roman"/>
          <w:sz w:val="24"/>
          <w:szCs w:val="24"/>
        </w:rPr>
        <w:t xml:space="preserve"> czy uchwał bądź też nawet aktów inaczej nazwanych, ale też odpowiadających charakterystyce aktu o charakterze wewnętrznym”. </w:t>
      </w:r>
    </w:p>
    <w:p w:rsidR="00EF0082" w:rsidRPr="00EF0082" w:rsidRDefault="00EF0082" w:rsidP="00EF0082">
      <w:pPr>
        <w:jc w:val="both"/>
        <w:rPr>
          <w:rFonts w:ascii="Times New Roman" w:hAnsi="Times New Roman" w:cs="Times New Roman"/>
          <w:sz w:val="24"/>
          <w:szCs w:val="24"/>
        </w:rPr>
      </w:pPr>
      <w:r w:rsidRPr="00EF00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79B5" w:rsidRDefault="00EF0082" w:rsidP="00EF0082">
      <w:pPr>
        <w:jc w:val="both"/>
        <w:rPr>
          <w:rFonts w:ascii="Times New Roman" w:hAnsi="Times New Roman" w:cs="Times New Roman"/>
          <w:sz w:val="24"/>
          <w:szCs w:val="24"/>
        </w:rPr>
      </w:pPr>
      <w:r w:rsidRPr="00EF0082">
        <w:rPr>
          <w:rFonts w:ascii="Times New Roman" w:hAnsi="Times New Roman" w:cs="Times New Roman"/>
          <w:sz w:val="24"/>
          <w:szCs w:val="24"/>
        </w:rPr>
        <w:t>TK dopuścił otwarcie systemu aktów prawa wewnętrznego, i to zarówno w aspekcie podmiotowym, jak i przedmiotowym.</w:t>
      </w:r>
    </w:p>
    <w:p w:rsidR="00EF0082" w:rsidRDefault="00EF0082" w:rsidP="00EF008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F0082" w:rsidRPr="00EF0082" w:rsidRDefault="00EF0082" w:rsidP="00EF0082">
      <w:pPr>
        <w:jc w:val="both"/>
        <w:rPr>
          <w:rFonts w:ascii="Times New Roman" w:hAnsi="Times New Roman" w:cs="Times New Roman"/>
          <w:sz w:val="24"/>
          <w:szCs w:val="24"/>
        </w:rPr>
      </w:pPr>
      <w:r w:rsidRPr="00EF0082">
        <w:rPr>
          <w:rFonts w:ascii="Times New Roman" w:hAnsi="Times New Roman" w:cs="Times New Roman"/>
          <w:sz w:val="24"/>
          <w:szCs w:val="24"/>
        </w:rPr>
        <w:t>Każdy akt pr</w:t>
      </w:r>
      <w:r w:rsidR="00433576">
        <w:rPr>
          <w:rFonts w:ascii="Times New Roman" w:hAnsi="Times New Roman" w:cs="Times New Roman"/>
          <w:sz w:val="24"/>
          <w:szCs w:val="24"/>
        </w:rPr>
        <w:t xml:space="preserve">awa wewnętrznego musi </w:t>
      </w:r>
      <w:proofErr w:type="spellStart"/>
      <w:r w:rsidR="00433576">
        <w:rPr>
          <w:rFonts w:ascii="Times New Roman" w:hAnsi="Times New Roman" w:cs="Times New Roman"/>
          <w:sz w:val="24"/>
          <w:szCs w:val="24"/>
        </w:rPr>
        <w:t>odpowiadac</w:t>
      </w:r>
      <w:proofErr w:type="spellEnd"/>
      <w:r w:rsidRPr="00EF0082">
        <w:rPr>
          <w:rFonts w:ascii="Times New Roman" w:hAnsi="Times New Roman" w:cs="Times New Roman"/>
          <w:sz w:val="24"/>
          <w:szCs w:val="24"/>
        </w:rPr>
        <w:t xml:space="preserve"> następującym wymaganiom: </w:t>
      </w:r>
    </w:p>
    <w:p w:rsidR="00EF0082" w:rsidRPr="00EF0082" w:rsidRDefault="00433576" w:rsidP="00EF008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1/  Może być</w:t>
      </w:r>
      <w:r w:rsidR="00EF0082" w:rsidRPr="00EF0082">
        <w:rPr>
          <w:rFonts w:ascii="Times New Roman" w:hAnsi="Times New Roman" w:cs="Times New Roman"/>
          <w:sz w:val="24"/>
          <w:szCs w:val="24"/>
        </w:rPr>
        <w:t xml:space="preserve"> adresowany tylko do jednostek organizacyjnych podległych organowi wydającemu ten akt (art. 93 ust. 1); </w:t>
      </w:r>
    </w:p>
    <w:p w:rsidR="00EF0082" w:rsidRPr="00EF0082" w:rsidRDefault="00433576" w:rsidP="00EF008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2/ Może obowiązywać</w:t>
      </w:r>
      <w:r w:rsidR="00EF0082" w:rsidRPr="00EF0082">
        <w:rPr>
          <w:rFonts w:ascii="Times New Roman" w:hAnsi="Times New Roman" w:cs="Times New Roman"/>
          <w:sz w:val="24"/>
          <w:szCs w:val="24"/>
        </w:rPr>
        <w:t xml:space="preserve"> tylko te jednostki, a nie może działa</w:t>
      </w:r>
      <w:r>
        <w:rPr>
          <w:rFonts w:ascii="Times New Roman" w:hAnsi="Times New Roman" w:cs="Times New Roman"/>
          <w:sz w:val="24"/>
          <w:szCs w:val="24"/>
        </w:rPr>
        <w:t>ć</w:t>
      </w:r>
      <w:r w:rsidR="00EF0082" w:rsidRPr="00EF0082">
        <w:rPr>
          <w:rFonts w:ascii="Times New Roman" w:hAnsi="Times New Roman" w:cs="Times New Roman"/>
          <w:sz w:val="24"/>
          <w:szCs w:val="24"/>
        </w:rPr>
        <w:t xml:space="preserve"> na zewnąt</w:t>
      </w:r>
      <w:r>
        <w:rPr>
          <w:rFonts w:ascii="Times New Roman" w:hAnsi="Times New Roman" w:cs="Times New Roman"/>
          <w:sz w:val="24"/>
          <w:szCs w:val="24"/>
        </w:rPr>
        <w:t>rz, w szczególności nie może być</w:t>
      </w:r>
      <w:r w:rsidR="00EF0082" w:rsidRPr="00EF0082">
        <w:rPr>
          <w:rFonts w:ascii="Times New Roman" w:hAnsi="Times New Roman" w:cs="Times New Roman"/>
          <w:sz w:val="24"/>
          <w:szCs w:val="24"/>
        </w:rPr>
        <w:t xml:space="preserve"> podstawą decyzji wobec obywateli, osób prawnych oraz innych podmiotów (art. 93 ust. 2 </w:t>
      </w:r>
      <w:proofErr w:type="spellStart"/>
      <w:r w:rsidR="00EF0082" w:rsidRPr="00EF0082">
        <w:rPr>
          <w:rFonts w:ascii="Times New Roman" w:hAnsi="Times New Roman" w:cs="Times New Roman"/>
          <w:sz w:val="24"/>
          <w:szCs w:val="24"/>
        </w:rPr>
        <w:t>zd</w:t>
      </w:r>
      <w:proofErr w:type="spellEnd"/>
      <w:r w:rsidR="00EF0082" w:rsidRPr="00EF0082">
        <w:rPr>
          <w:rFonts w:ascii="Times New Roman" w:hAnsi="Times New Roman" w:cs="Times New Roman"/>
          <w:sz w:val="24"/>
          <w:szCs w:val="24"/>
        </w:rPr>
        <w:t xml:space="preserve">. 2); </w:t>
      </w:r>
    </w:p>
    <w:p w:rsidR="00EF0082" w:rsidRDefault="00433576" w:rsidP="00EF008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3/ Może być</w:t>
      </w:r>
      <w:r w:rsidR="00EF0082" w:rsidRPr="00EF0082">
        <w:rPr>
          <w:rFonts w:ascii="Times New Roman" w:hAnsi="Times New Roman" w:cs="Times New Roman"/>
          <w:sz w:val="24"/>
          <w:szCs w:val="24"/>
        </w:rPr>
        <w:t xml:space="preserve"> wydany tylko w ra</w:t>
      </w:r>
      <w:r w:rsidR="00AE5276">
        <w:rPr>
          <w:rFonts w:ascii="Times New Roman" w:hAnsi="Times New Roman" w:cs="Times New Roman"/>
          <w:sz w:val="24"/>
          <w:szCs w:val="24"/>
        </w:rPr>
        <w:t xml:space="preserve">mach ustawy, która musi </w:t>
      </w:r>
      <w:proofErr w:type="spellStart"/>
      <w:r w:rsidR="00AE5276">
        <w:rPr>
          <w:rFonts w:ascii="Times New Roman" w:hAnsi="Times New Roman" w:cs="Times New Roman"/>
          <w:sz w:val="24"/>
          <w:szCs w:val="24"/>
        </w:rPr>
        <w:t>określac</w:t>
      </w:r>
      <w:proofErr w:type="spellEnd"/>
      <w:r w:rsidR="00EF0082" w:rsidRPr="00EF0082">
        <w:rPr>
          <w:rFonts w:ascii="Times New Roman" w:hAnsi="Times New Roman" w:cs="Times New Roman"/>
          <w:sz w:val="24"/>
          <w:szCs w:val="24"/>
        </w:rPr>
        <w:t xml:space="preserve"> ogólną kompetencję danego organu do wydawania aktów prawa wewnętr</w:t>
      </w:r>
      <w:r w:rsidR="00947A5A">
        <w:rPr>
          <w:rFonts w:ascii="Times New Roman" w:hAnsi="Times New Roman" w:cs="Times New Roman"/>
          <w:sz w:val="24"/>
          <w:szCs w:val="24"/>
        </w:rPr>
        <w:t xml:space="preserve">znego (art. 93 ust. 2 </w:t>
      </w:r>
      <w:proofErr w:type="spellStart"/>
      <w:r w:rsidR="00947A5A">
        <w:rPr>
          <w:rFonts w:ascii="Times New Roman" w:hAnsi="Times New Roman" w:cs="Times New Roman"/>
          <w:sz w:val="24"/>
          <w:szCs w:val="24"/>
        </w:rPr>
        <w:t>zd</w:t>
      </w:r>
      <w:proofErr w:type="spellEnd"/>
      <w:r w:rsidR="00947A5A">
        <w:rPr>
          <w:rFonts w:ascii="Times New Roman" w:hAnsi="Times New Roman" w:cs="Times New Roman"/>
          <w:sz w:val="24"/>
          <w:szCs w:val="24"/>
        </w:rPr>
        <w:t xml:space="preserve">. 1).  </w:t>
      </w:r>
    </w:p>
    <w:p w:rsidR="00947A5A" w:rsidRDefault="00947A5A" w:rsidP="00EF008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47A5A" w:rsidRPr="00947A5A" w:rsidRDefault="00947A5A" w:rsidP="00947A5A">
      <w:pPr>
        <w:jc w:val="both"/>
        <w:rPr>
          <w:rFonts w:ascii="Times New Roman" w:hAnsi="Times New Roman" w:cs="Times New Roman"/>
          <w:sz w:val="24"/>
          <w:szCs w:val="24"/>
        </w:rPr>
      </w:pPr>
      <w:r w:rsidRPr="00947A5A">
        <w:rPr>
          <w:rFonts w:ascii="Times New Roman" w:hAnsi="Times New Roman" w:cs="Times New Roman"/>
          <w:sz w:val="24"/>
          <w:szCs w:val="24"/>
        </w:rPr>
        <w:t>PRAWO MIEJSCOWE – w myśl art. 9</w:t>
      </w:r>
      <w:r w:rsidR="00AE5276">
        <w:rPr>
          <w:rFonts w:ascii="Times New Roman" w:hAnsi="Times New Roman" w:cs="Times New Roman"/>
          <w:sz w:val="24"/>
          <w:szCs w:val="24"/>
        </w:rPr>
        <w:t xml:space="preserve">4 </w:t>
      </w:r>
      <w:proofErr w:type="spellStart"/>
      <w:r w:rsidR="00AE5276">
        <w:rPr>
          <w:rFonts w:ascii="Times New Roman" w:hAnsi="Times New Roman" w:cs="Times New Roman"/>
          <w:sz w:val="24"/>
          <w:szCs w:val="24"/>
        </w:rPr>
        <w:t>zd</w:t>
      </w:r>
      <w:proofErr w:type="spellEnd"/>
      <w:r w:rsidR="00AE5276">
        <w:rPr>
          <w:rFonts w:ascii="Times New Roman" w:hAnsi="Times New Roman" w:cs="Times New Roman"/>
          <w:sz w:val="24"/>
          <w:szCs w:val="24"/>
        </w:rPr>
        <w:t>. 1 Konstytucji może ono być</w:t>
      </w:r>
      <w:r w:rsidRPr="00947A5A">
        <w:rPr>
          <w:rFonts w:ascii="Times New Roman" w:hAnsi="Times New Roman" w:cs="Times New Roman"/>
          <w:sz w:val="24"/>
          <w:szCs w:val="24"/>
        </w:rPr>
        <w:t xml:space="preserve"> stanowione zarówno przez organy samorządu terytorialnego, jak i przez terenowe organy administracji rządowej. Prawo to ma z natury rzeczy ograniczony terytorialnie zakres obowiązywania.  </w:t>
      </w:r>
    </w:p>
    <w:p w:rsidR="00947A5A" w:rsidRPr="00947A5A" w:rsidRDefault="00947A5A" w:rsidP="00947A5A">
      <w:pPr>
        <w:jc w:val="both"/>
        <w:rPr>
          <w:rFonts w:ascii="Times New Roman" w:hAnsi="Times New Roman" w:cs="Times New Roman"/>
          <w:sz w:val="24"/>
          <w:szCs w:val="24"/>
        </w:rPr>
      </w:pPr>
      <w:r w:rsidRPr="00947A5A">
        <w:rPr>
          <w:rFonts w:ascii="Times New Roman" w:hAnsi="Times New Roman" w:cs="Times New Roman"/>
          <w:sz w:val="24"/>
          <w:szCs w:val="24"/>
        </w:rPr>
        <w:t xml:space="preserve">Obecnie ustawodawstwo przewiduje istnienie dwóch typów aktów prawa miejscowego o powszechnie obowiązującym charakterze: </w:t>
      </w:r>
    </w:p>
    <w:p w:rsidR="00947A5A" w:rsidRPr="00947A5A" w:rsidRDefault="00947A5A" w:rsidP="00947A5A">
      <w:pPr>
        <w:jc w:val="both"/>
        <w:rPr>
          <w:rFonts w:ascii="Times New Roman" w:hAnsi="Times New Roman" w:cs="Times New Roman"/>
          <w:sz w:val="24"/>
          <w:szCs w:val="24"/>
        </w:rPr>
      </w:pPr>
      <w:r w:rsidRPr="00947A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5276" w:rsidRDefault="00947A5A" w:rsidP="00947A5A">
      <w:pPr>
        <w:jc w:val="both"/>
        <w:rPr>
          <w:rFonts w:ascii="Times New Roman" w:hAnsi="Times New Roman" w:cs="Times New Roman"/>
          <w:sz w:val="24"/>
          <w:szCs w:val="24"/>
        </w:rPr>
      </w:pPr>
      <w:r w:rsidRPr="00947A5A">
        <w:rPr>
          <w:rFonts w:ascii="Times New Roman" w:hAnsi="Times New Roman" w:cs="Times New Roman"/>
          <w:sz w:val="24"/>
          <w:szCs w:val="24"/>
        </w:rPr>
        <w:t xml:space="preserve">1) Przepisy wykonawcze do odrębnych ustaw.  </w:t>
      </w:r>
    </w:p>
    <w:p w:rsidR="00947A5A" w:rsidRPr="00947A5A" w:rsidRDefault="00947A5A" w:rsidP="00947A5A">
      <w:pPr>
        <w:jc w:val="both"/>
        <w:rPr>
          <w:rFonts w:ascii="Times New Roman" w:hAnsi="Times New Roman" w:cs="Times New Roman"/>
          <w:sz w:val="24"/>
          <w:szCs w:val="24"/>
        </w:rPr>
      </w:pPr>
      <w:r w:rsidRPr="00947A5A">
        <w:rPr>
          <w:rFonts w:ascii="Times New Roman" w:hAnsi="Times New Roman" w:cs="Times New Roman"/>
          <w:sz w:val="24"/>
          <w:szCs w:val="24"/>
        </w:rPr>
        <w:t>2) Przepisy porządkowe – wydawane na podstawie ogólnego upoważnienia wyrażonego w przepisach</w:t>
      </w:r>
      <w:r w:rsidR="00AE5276">
        <w:rPr>
          <w:rFonts w:ascii="Times New Roman" w:hAnsi="Times New Roman" w:cs="Times New Roman"/>
          <w:sz w:val="24"/>
          <w:szCs w:val="24"/>
        </w:rPr>
        <w:t xml:space="preserve"> </w:t>
      </w:r>
      <w:r w:rsidRPr="00947A5A">
        <w:rPr>
          <w:rFonts w:ascii="Times New Roman" w:hAnsi="Times New Roman" w:cs="Times New Roman"/>
          <w:sz w:val="24"/>
          <w:szCs w:val="24"/>
        </w:rPr>
        <w:t xml:space="preserve">ustaw o poszczególnych szczeblach samorządu terytorialnego oraz ustaw o administracji rządowej w województwie. </w:t>
      </w:r>
    </w:p>
    <w:p w:rsidR="00947A5A" w:rsidRPr="00947A5A" w:rsidRDefault="00947A5A" w:rsidP="00947A5A">
      <w:pPr>
        <w:jc w:val="both"/>
        <w:rPr>
          <w:rFonts w:ascii="Times New Roman" w:hAnsi="Times New Roman" w:cs="Times New Roman"/>
          <w:sz w:val="24"/>
          <w:szCs w:val="24"/>
        </w:rPr>
      </w:pPr>
      <w:r w:rsidRPr="00947A5A">
        <w:rPr>
          <w:rFonts w:ascii="Times New Roman" w:hAnsi="Times New Roman" w:cs="Times New Roman"/>
          <w:sz w:val="24"/>
          <w:szCs w:val="24"/>
        </w:rPr>
        <w:t>Przepisy prawa miejscowego podlegają kontrol</w:t>
      </w:r>
      <w:r w:rsidR="00AE5276">
        <w:rPr>
          <w:rFonts w:ascii="Times New Roman" w:hAnsi="Times New Roman" w:cs="Times New Roman"/>
          <w:sz w:val="24"/>
          <w:szCs w:val="24"/>
        </w:rPr>
        <w:t>i każdego sądu – może on odmówić</w:t>
      </w:r>
      <w:r w:rsidRPr="00947A5A">
        <w:rPr>
          <w:rFonts w:ascii="Times New Roman" w:hAnsi="Times New Roman" w:cs="Times New Roman"/>
          <w:sz w:val="24"/>
          <w:szCs w:val="24"/>
        </w:rPr>
        <w:t xml:space="preserve"> zastosowania przepisu, który w jego przekonaniu jest niezgodny z unormowaniami wyższego rzędu. </w:t>
      </w:r>
    </w:p>
    <w:p w:rsidR="00947A5A" w:rsidRPr="00947A5A" w:rsidRDefault="00947A5A" w:rsidP="00947A5A">
      <w:pPr>
        <w:jc w:val="both"/>
        <w:rPr>
          <w:rFonts w:ascii="Times New Roman" w:hAnsi="Times New Roman" w:cs="Times New Roman"/>
          <w:sz w:val="24"/>
          <w:szCs w:val="24"/>
        </w:rPr>
      </w:pPr>
      <w:r w:rsidRPr="00947A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7A5A" w:rsidRDefault="00947A5A" w:rsidP="00947A5A">
      <w:pPr>
        <w:jc w:val="both"/>
        <w:rPr>
          <w:rFonts w:ascii="Times New Roman" w:hAnsi="Times New Roman" w:cs="Times New Roman"/>
          <w:sz w:val="24"/>
          <w:szCs w:val="24"/>
        </w:rPr>
      </w:pPr>
      <w:r w:rsidRPr="00947A5A">
        <w:rPr>
          <w:rFonts w:ascii="Times New Roman" w:hAnsi="Times New Roman" w:cs="Times New Roman"/>
          <w:sz w:val="24"/>
          <w:szCs w:val="24"/>
        </w:rPr>
        <w:t>Generalna kontrola przepisów prawa miejscowego należy do właściwości sądów administracyjnych – art. 184 Konstytucji. "[…] orzekanie o zgodności z ustawami uchwał organów samorządu terytorialnego i aktów normatywnych terenowych organów administracji rządowej</w:t>
      </w:r>
      <w:bookmarkStart w:id="0" w:name="_GoBack"/>
      <w:bookmarkEnd w:id="0"/>
    </w:p>
    <w:sectPr w:rsidR="00947A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29A"/>
    <w:rsid w:val="001E029A"/>
    <w:rsid w:val="00433576"/>
    <w:rsid w:val="00630899"/>
    <w:rsid w:val="00947A5A"/>
    <w:rsid w:val="00AE5276"/>
    <w:rsid w:val="00E479B5"/>
    <w:rsid w:val="00EF0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D138EB-F5A1-44AA-9852-F93D60678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317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slawek</dc:creator>
  <cp:keywords/>
  <dc:description/>
  <cp:lastModifiedBy>slawek</cp:lastModifiedBy>
  <cp:revision>3</cp:revision>
  <dcterms:created xsi:type="dcterms:W3CDTF">2018-11-21T17:07:00Z</dcterms:created>
  <dcterms:modified xsi:type="dcterms:W3CDTF">2018-12-01T21:19:00Z</dcterms:modified>
</cp:coreProperties>
</file>